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0BB781" w14:textId="77777777" w:rsidR="00D02E64" w:rsidRDefault="00000000">
      <w:pPr>
        <w:pStyle w:val="Ttulo1"/>
        <w:spacing w:before="60"/>
        <w:jc w:val="center"/>
      </w:pPr>
      <w:r>
        <w:t>TERMOS DE USO E ADESÃO — LICENÇA DE SOFTWARE (SaaS) E TRATAMENTO DE DADOS PESSOAIS</w:t>
      </w:r>
    </w:p>
    <w:p w14:paraId="538BC593" w14:textId="77777777" w:rsidR="00D02E64" w:rsidRDefault="00000000">
      <w:pPr>
        <w:spacing w:after="240"/>
        <w:jc w:val="center"/>
      </w:pPr>
      <w:r>
        <w:rPr>
          <w:i/>
          <w:iCs/>
          <w:color w:val="555555"/>
        </w:rPr>
        <w:t xml:space="preserve">Plataforma </w:t>
      </w:r>
      <w:proofErr w:type="spellStart"/>
      <w:r>
        <w:rPr>
          <w:i/>
          <w:iCs/>
          <w:color w:val="555555"/>
        </w:rPr>
        <w:t>Medrion</w:t>
      </w:r>
      <w:proofErr w:type="spellEnd"/>
      <w:r>
        <w:rPr>
          <w:i/>
          <w:iCs/>
          <w:color w:val="555555"/>
        </w:rPr>
        <w:t xml:space="preserve"> — Profissional Contratante Avulso</w:t>
      </w:r>
    </w:p>
    <w:p w14:paraId="34277FF4" w14:textId="77777777" w:rsidR="00D02E64" w:rsidRDefault="00000000">
      <w:pPr>
        <w:spacing w:after="120" w:line="268" w:lineRule="auto"/>
        <w:jc w:val="both"/>
      </w:pPr>
      <w:r>
        <w:t xml:space="preserve">Estes Termos de Uso e Adesão (“Termos”) regem o acesso e o uso da plataforma </w:t>
      </w:r>
      <w:proofErr w:type="spellStart"/>
      <w:r>
        <w:t>Medrion</w:t>
      </w:r>
      <w:proofErr w:type="spellEnd"/>
      <w:r>
        <w:t xml:space="preserve"> (“Plataforma”), oferecida por </w:t>
      </w:r>
      <w:r>
        <w:rPr>
          <w:b/>
          <w:bCs/>
        </w:rPr>
        <w:t>MEDRION TECH SOLUÇÕES LTDA</w:t>
      </w:r>
      <w:r>
        <w:t xml:space="preserve">, inscrita no CNPJ sob o nº 66.873.236/0001-40, com sede em </w:t>
      </w:r>
      <w:r>
        <w:rPr>
          <w:b/>
          <w:bCs/>
          <w:shd w:val="clear" w:color="auto" w:fill="FFF200"/>
        </w:rPr>
        <w:t>[ENDEREÇO COMPLETO — A PREENCHER]</w:t>
      </w:r>
      <w:r>
        <w:t xml:space="preserve"> (“MEDRION”).</w:t>
      </w:r>
    </w:p>
    <w:p w14:paraId="6A648E87" w14:textId="77777777" w:rsidR="00D02E64" w:rsidRDefault="00000000">
      <w:pPr>
        <w:spacing w:after="120" w:line="268" w:lineRule="auto"/>
        <w:jc w:val="both"/>
      </w:pPr>
      <w:r>
        <w:t xml:space="preserve">Ao marcar a caixa “Li e concordo”, criar conta ou utilizar a Plataforma, </w:t>
      </w:r>
      <w:r>
        <w:rPr>
          <w:b/>
          <w:bCs/>
        </w:rPr>
        <w:t>o profissional de saúde contratante (“PROFISSIONAL”)</w:t>
      </w:r>
      <w:r>
        <w:t>, identificado pelos dados informados no cadastro (nome, conselho/UF e número de inscrição, CPF), declara que leu, compreendeu e concorda integralmente com estes Termos. Caso não concorde, não utilize a Plataforma.</w:t>
      </w:r>
    </w:p>
    <w:p w14:paraId="2EBCB78C" w14:textId="77777777" w:rsidR="00D02E64" w:rsidRDefault="00000000">
      <w:pPr>
        <w:spacing w:after="120" w:line="268" w:lineRule="auto"/>
        <w:jc w:val="both"/>
      </w:pPr>
      <w:r>
        <w:t xml:space="preserve">CONSIDERANDO QUE a MEDRION é titular da plataforma </w:t>
      </w:r>
      <w:proofErr w:type="spellStart"/>
      <w:r>
        <w:t>Medrion</w:t>
      </w:r>
      <w:proofErr w:type="spellEnd"/>
      <w:r>
        <w:t xml:space="preserve">, solução SaaS de inteligência clínica de APOIO À DECISÃO, que NÃO </w:t>
      </w:r>
      <w:proofErr w:type="gramStart"/>
      <w:r>
        <w:t>pratica</w:t>
      </w:r>
      <w:proofErr w:type="gramEnd"/>
      <w:r>
        <w:t xml:space="preserve"> medicina, NÃO prescreve e NÃO substitui o julgamento do profissional habilitado; e que o PROFISSIONAL deseja contratar, em caráter individual e avulso, a licença de uso;</w:t>
      </w:r>
    </w:p>
    <w:p w14:paraId="18DA3BEC" w14:textId="77777777" w:rsidR="00D02E64" w:rsidRDefault="00000000">
      <w:pPr>
        <w:spacing w:after="120" w:line="268" w:lineRule="auto"/>
        <w:jc w:val="both"/>
      </w:pPr>
      <w:r>
        <w:t>Aceitos na forma acima, estes Termos vinculam o PROFISSIONAL e a MEDRION nos termos seguintes.</w:t>
      </w:r>
    </w:p>
    <w:p w14:paraId="073979D8" w14:textId="77777777" w:rsidR="00D02E64" w:rsidRDefault="00000000">
      <w:pPr>
        <w:pStyle w:val="Ttulo2"/>
        <w:keepNext/>
        <w:spacing w:before="300"/>
      </w:pPr>
      <w:r>
        <w:t>CLÁUSULA PRIMEIRA — DAS DEFINIÇÕES</w:t>
      </w:r>
    </w:p>
    <w:p w14:paraId="43041448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1.1. </w:t>
      </w:r>
      <w:r>
        <w:t xml:space="preserve">“Plataforma”: o software </w:t>
      </w:r>
      <w:proofErr w:type="spellStart"/>
      <w:r>
        <w:t>Medrion</w:t>
      </w:r>
      <w:proofErr w:type="spellEnd"/>
      <w:r>
        <w:t xml:space="preserve"> e seus módulos de apoio à decisão clínica.</w:t>
      </w:r>
    </w:p>
    <w:p w14:paraId="0E8AEC92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1.2. </w:t>
      </w:r>
      <w:r>
        <w:t>“Apoio à Decisão”: natureza meramente sugestiva e auxiliar das saídas, destinadas à revisão, validação e assinatura pelo PROFISSIONAL.</w:t>
      </w:r>
    </w:p>
    <w:p w14:paraId="02A24B6C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1.3. </w:t>
      </w:r>
      <w:r>
        <w:t xml:space="preserve">“Dados </w:t>
      </w:r>
      <w:proofErr w:type="gramStart"/>
      <w:r>
        <w:t>Pessoais”/</w:t>
      </w:r>
      <w:proofErr w:type="gramEnd"/>
      <w:r>
        <w:t>“Sensíveis”, “Controlador”, “Operador”, “</w:t>
      </w:r>
      <w:proofErr w:type="spellStart"/>
      <w:r>
        <w:t>Suboperador</w:t>
      </w:r>
      <w:proofErr w:type="spellEnd"/>
      <w:r>
        <w:t>”, “Titular”, “Tratamento” e “ANPD”: conforme a LGPD (Lei nº 13.709/2018).</w:t>
      </w:r>
    </w:p>
    <w:p w14:paraId="2734326C" w14:textId="77777777" w:rsidR="00D02E64" w:rsidRDefault="00000000">
      <w:pPr>
        <w:pStyle w:val="Ttulo2"/>
        <w:keepNext/>
        <w:spacing w:before="300"/>
      </w:pPr>
      <w:r>
        <w:t>CLÁUSULA SEGUNDA — DO OBJETO</w:t>
      </w:r>
    </w:p>
    <w:p w14:paraId="187F17F4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2.1. </w:t>
      </w:r>
      <w:r>
        <w:t>Licença de uso temporária, onerosa, não exclusiva, intransferível e revogável da Plataforma, em modelo SaaS, ao PROFISSIONAL, conforme o plano do Anexo I.</w:t>
      </w:r>
    </w:p>
    <w:p w14:paraId="5EC6B764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2.2. </w:t>
      </w:r>
      <w:r>
        <w:t>O acesso é pessoal e intransferível, vedado o compartilhamento de credenciais.</w:t>
      </w:r>
    </w:p>
    <w:p w14:paraId="087669AC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2.3. </w:t>
      </w:r>
      <w:r>
        <w:t>A licença não transfere qualquer direito de propriedade sobre a Plataforma.</w:t>
      </w:r>
    </w:p>
    <w:p w14:paraId="41C0A601" w14:textId="77777777" w:rsidR="00D02E64" w:rsidRDefault="00000000">
      <w:pPr>
        <w:pStyle w:val="Ttulo2"/>
        <w:keepNext/>
        <w:spacing w:before="300"/>
      </w:pPr>
      <w:r>
        <w:t>CLÁUSULA TERCEIRA — DA NATUREZA E DOS LIMITES DO SERVIÇO (APOIO À DECISÃO)</w:t>
      </w:r>
    </w:p>
    <w:p w14:paraId="16AD48E3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3.1. </w:t>
      </w:r>
      <w:r>
        <w:t>A Plataforma é ferramenta de APOIO À DECISÃO. Toda saída é sugestão técnica destinada, obrigatoriamente, à revisão, ajuste, validação e assinatura pelo PROFISSIONAL.</w:t>
      </w:r>
    </w:p>
    <w:p w14:paraId="10D1DBBF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3.2. </w:t>
      </w:r>
      <w:r>
        <w:t>A MEDRION NÃO pratica atos privativos de medicina ou farmácia, NÃO emite diagnóstico, NÃO prescreve, NÃO dispensa e NÃO substitui a avaliação presencial ou o julgamento clínico.</w:t>
      </w:r>
    </w:p>
    <w:p w14:paraId="5DE7F977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3.3. </w:t>
      </w:r>
      <w:r>
        <w:t>A decisão clínica, a indicação, a posologia, a conduta e a prescrição são, sempre e exclusivamente, do PROFISSIONAL.</w:t>
      </w:r>
    </w:p>
    <w:p w14:paraId="275A2439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3.4. </w:t>
      </w:r>
      <w:r>
        <w:t>A Plataforma não constitui dispositivo médico de diagnóstico ou terapêutico autônomo, operando como suporte informacional sob supervisão e controle humano. A MEDRION não declara nem garante finalidade médica autônoma.</w:t>
      </w:r>
    </w:p>
    <w:p w14:paraId="482C57F4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lastRenderedPageBreak/>
        <w:t xml:space="preserve">3.5. </w:t>
      </w:r>
      <w:r>
        <w:t>A Plataforma pode empregar modelos de inteligência artificial de terceiros, com limitações inerentes (possibilidade de imprecisão), reforçando o dever de revisão integral antes de qualquer emissão.</w:t>
      </w:r>
    </w:p>
    <w:p w14:paraId="6836FCC9" w14:textId="77777777" w:rsidR="00D02E64" w:rsidRDefault="00000000">
      <w:pPr>
        <w:pStyle w:val="Ttulo2"/>
        <w:keepNext/>
        <w:spacing w:before="300"/>
      </w:pPr>
      <w:r>
        <w:t>CLÁUSULA QUARTA — DAS OBRIGAÇÕES E DECLARAÇÕES DO PROFISSIONAL</w:t>
      </w:r>
    </w:p>
    <w:p w14:paraId="208CA05C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4.1. </w:t>
      </w:r>
      <w:r>
        <w:t>Declarar e manter sua habilitação regular perante o respectivo conselho de classe, atuando no escopo legal de prescrição.</w:t>
      </w:r>
    </w:p>
    <w:p w14:paraId="4DF0AE21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4.2. </w:t>
      </w:r>
      <w:r>
        <w:t>Revisar, ajustar, validar e assinar toda saída antes de qualquer uso clínico, assumindo a integralidade da decisão.</w:t>
      </w:r>
    </w:p>
    <w:p w14:paraId="2555177C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4.3. </w:t>
      </w:r>
      <w:r>
        <w:t>Cumprir a legislação aplicável, incluindo a Resolução CFM nº 2.333/2023 e a Portaria SVS/MS nº 344/1998 (substâncias controladas, lista C5/anabolizantes), abstendo-se de prescrever esteroides/anabolizantes para fins estéticos, de ganho de massa ou de desempenho, e observando exigências de receita de controle especial, CID e SNGPC, quando cabíveis.</w:t>
      </w:r>
    </w:p>
    <w:p w14:paraId="4C72AE50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4.4. </w:t>
      </w:r>
      <w:r>
        <w:t>Obter, de seus pacientes, a base legal e/ou o consentimento exigidos pela LGPD.</w:t>
      </w:r>
    </w:p>
    <w:p w14:paraId="66960ABA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4.5. </w:t>
      </w:r>
      <w:r>
        <w:t>Zelar pela exatidão dos dados inseridos; não compartilhar credenciais; não realizar engenharia reversa ou uso fora do escopo.</w:t>
      </w:r>
    </w:p>
    <w:p w14:paraId="25266F58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4.6. </w:t>
      </w:r>
      <w:r>
        <w:t>Efetuar o pagamento na forma do Anexo I.</w:t>
      </w:r>
    </w:p>
    <w:p w14:paraId="4E8A3A6A" w14:textId="77777777" w:rsidR="00D02E64" w:rsidRDefault="00000000">
      <w:pPr>
        <w:pStyle w:val="Ttulo2"/>
        <w:keepNext/>
        <w:spacing w:before="300"/>
      </w:pPr>
      <w:r>
        <w:t>CLÁUSULA QUINTA — DA RESPONSABILIDADE CIVIL, DA ISENÇÃO E DA LIMITAÇÃO</w:t>
      </w:r>
    </w:p>
    <w:p w14:paraId="27EFDE3C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5.1. </w:t>
      </w:r>
      <w:r>
        <w:t>RESPONSABILIDADE CLÍNICA EXCLUSIVA: o PROFISSIONAL é o único e exclusivo responsável pela decisão clínica, indicação, posologia, conduta, prescrição e por qualquer dano ao paciente, isentando integralmente a MEDRION.</w:t>
      </w:r>
    </w:p>
    <w:p w14:paraId="382D6296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5.2. </w:t>
      </w:r>
      <w:r>
        <w:t>A Plataforma é fornecida “no estado em que se encontra” e “conforme disponível”, sem garantia de exatidão absoluta, adequação a caso concreto, resultado clínico ou aptidão para fim específico.</w:t>
      </w:r>
    </w:p>
    <w:p w14:paraId="402BF693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5.3. </w:t>
      </w:r>
      <w:r>
        <w:t>A MEDRION não se responsabiliza por danos diretos ou indiretos decorrentes de: (i) decisão ou prescrição do PROFISSIONAL; (</w:t>
      </w:r>
      <w:proofErr w:type="spellStart"/>
      <w:r>
        <w:t>ii</w:t>
      </w:r>
      <w:proofErr w:type="spellEnd"/>
      <w:r>
        <w:t>) uso em desacordo com a lei ou com este Contrato; (</w:t>
      </w:r>
      <w:proofErr w:type="spellStart"/>
      <w:r>
        <w:t>iii</w:t>
      </w:r>
      <w:proofErr w:type="spellEnd"/>
      <w:r>
        <w:t>) dados incorretos ou desatualizados inseridos; (</w:t>
      </w:r>
      <w:proofErr w:type="spellStart"/>
      <w:r>
        <w:t>iv</w:t>
      </w:r>
      <w:proofErr w:type="spellEnd"/>
      <w:r>
        <w:t>) imprecisões inerentes a modelos de IA; (v) indisponibilidade ou falha de serviços de terceiros (hospedagem, banco de dados, provedores de IA, telecomunicações).</w:t>
      </w:r>
    </w:p>
    <w:p w14:paraId="719F3652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5.4. </w:t>
      </w:r>
      <w:r>
        <w:t>LIMITAÇÃO DE RESPONSABILIDADE: na máxima extensão permitida em lei, a responsabilidade total e agregada da MEDRION limita-se ao valor efetivamente pago pelo PROFISSIONAL nos 12 (doze) meses anteriores ao evento, excluídos danos indiretos, lucros cessantes, perda de uma chance, perda de dados e danos morais ou reputacionais.</w:t>
      </w:r>
    </w:p>
    <w:p w14:paraId="03F3EE97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5.5. </w:t>
      </w:r>
      <w:r>
        <w:t>INDENIZAÇÃO: o PROFISSIONAL obriga-se a defender, indenizar e manter a MEDRION indene (incluindo honorários e custas) de toda reclamação de terceiros — inclusive pacientes, conselhos, ANVISA, ANPD e Ministério Público — decorrente de seu uso da Plataforma ou de descumprimento deste Contrato.</w:t>
      </w:r>
    </w:p>
    <w:p w14:paraId="4014C1A4" w14:textId="77777777" w:rsidR="00D02E64" w:rsidRDefault="00000000">
      <w:pPr>
        <w:pStyle w:val="Ttulo2"/>
        <w:keepNext/>
        <w:spacing w:before="300"/>
      </w:pPr>
      <w:r>
        <w:t>CLÁUSULA SEXTA — DA PROTEÇÃO DE DADOS PESSOAIS (LGPD)</w:t>
      </w:r>
    </w:p>
    <w:p w14:paraId="77557F8D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6.1. </w:t>
      </w:r>
      <w:r>
        <w:t>PAPÉIS: o PROFISSIONAL é o CONTROLADOR dos dados pessoais de seus pacientes, por definir as finalidades do tratamento; a MEDRION atua exclusivamente como OPERADORA, tratando dados em nome e sob instruções do PROFISSIONAL.</w:t>
      </w:r>
    </w:p>
    <w:p w14:paraId="260B2F4C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6.2. </w:t>
      </w:r>
      <w:r>
        <w:t>FINALIDADE/INSTRUÇÕES: a MEDRION tratará dados, inclusive sensíveis de saúde (art. 11 da LGPD), exclusivamente para executar o objeto, conforme instruções do PROFISSIONAL.</w:t>
      </w:r>
    </w:p>
    <w:p w14:paraId="16223FD1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lastRenderedPageBreak/>
        <w:t xml:space="preserve">6.3. </w:t>
      </w:r>
      <w:r>
        <w:t>BASE LEGAL E CONSENTIMENTO: compete exclusivamente ao PROFISSIONAL assegurar a base legal adequada (</w:t>
      </w:r>
      <w:proofErr w:type="spellStart"/>
      <w:r>
        <w:t>arts</w:t>
      </w:r>
      <w:proofErr w:type="spellEnd"/>
      <w:r>
        <w:t>. 7º e 11 da LGPD, incluindo tutela da saúde ou consentimento específico e destacado do titular) para o tratamento e para a eventual transferência internacional. A MEDRION não responde pela ausência ou invalidade dessa base ou consentimento.</w:t>
      </w:r>
    </w:p>
    <w:p w14:paraId="3AF6FA29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6.4. </w:t>
      </w:r>
      <w:r>
        <w:t xml:space="preserve">INFRAESTRUTURA, SUBOPERADORES E TRANSFERÊNCIA INTERNACIONAL: o PROFISSIONAL reconhece e autoriza que a execução envolve os </w:t>
      </w:r>
      <w:proofErr w:type="spellStart"/>
      <w:r>
        <w:t>Suboperadores</w:t>
      </w:r>
      <w:proofErr w:type="spellEnd"/>
      <w:r>
        <w:t xml:space="preserve">: (a) </w:t>
      </w:r>
      <w:proofErr w:type="spellStart"/>
      <w:r>
        <w:t>Vercel</w:t>
      </w:r>
      <w:proofErr w:type="spellEnd"/>
      <w:r>
        <w:t xml:space="preserve"> (hospedagem da aplicação — medrionai.com); (b) </w:t>
      </w:r>
      <w:proofErr w:type="spellStart"/>
      <w:r>
        <w:t>Supabase</w:t>
      </w:r>
      <w:proofErr w:type="spellEnd"/>
      <w:r>
        <w:t xml:space="preserve"> (armazenamento de dados — região </w:t>
      </w:r>
      <w:r>
        <w:rPr>
          <w:b/>
          <w:bCs/>
          <w:shd w:val="clear" w:color="auto" w:fill="FFF200"/>
        </w:rPr>
        <w:t>[A CONFIRMAR — possivelmente fora do Brasil]</w:t>
      </w:r>
      <w:r>
        <w:t xml:space="preserve">); (c) provedores de IA no exterior, a título exemplificativo Google/Gemini, </w:t>
      </w:r>
      <w:proofErr w:type="spellStart"/>
      <w:r>
        <w:t>Anthropic</w:t>
      </w:r>
      <w:proofErr w:type="spellEnd"/>
      <w:r>
        <w:t xml:space="preserve"> e OpenAI (geração e transcrição). Tais operações podem implicar TRANSFERÊNCIA INTERNACIONAL de dados, inclusive sensíveis. O PROFISSIONAL declara obter, do titular, a base legal/consentimento necessários. A MEDRION adota salvaguardas contratuais com os </w:t>
      </w:r>
      <w:proofErr w:type="spellStart"/>
      <w:r>
        <w:t>Suboperadores</w:t>
      </w:r>
      <w:proofErr w:type="spellEnd"/>
      <w:r>
        <w:t>, observados o art. 33 da LGPD e a regulamentação da ANPD. Relação no Anexo II e/ou na Política de Privacidade.</w:t>
      </w:r>
    </w:p>
    <w:p w14:paraId="2FE7CA71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6.5. </w:t>
      </w:r>
      <w:r>
        <w:t>SEGURANÇA: medidas técnicas e administrativas razoáveis e proporcionais.</w:t>
      </w:r>
    </w:p>
    <w:p w14:paraId="6A4E18D4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6.6. </w:t>
      </w:r>
      <w:r>
        <w:t>INCIDENTES: comunicação ao PROFISSIONAL em prazo razoável, para cumprimento de seus deveres perante a ANPD e os titulares. Contato: contato@medrionai.com.</w:t>
      </w:r>
    </w:p>
    <w:p w14:paraId="511B7DAB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6.7. </w:t>
      </w:r>
      <w:r>
        <w:t>ENCARREGADO (DPO): contato@medrionai.com</w:t>
      </w:r>
      <w:r>
        <w:rPr>
          <w:b/>
          <w:bCs/>
          <w:shd w:val="clear" w:color="auto" w:fill="FFF200"/>
        </w:rPr>
        <w:t xml:space="preserve"> [indicar nome do encarregado, se houver]</w:t>
      </w:r>
      <w:r>
        <w:t>.</w:t>
      </w:r>
    </w:p>
    <w:p w14:paraId="26B0DE3E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6.8. </w:t>
      </w:r>
      <w:r>
        <w:t>TÉRMINO: encerrado o Contrato, a MEDRION eliminará ou devolverá os dados conforme instrução do PROFISSIONAL, ressalvada a guarda exigida por lei.</w:t>
      </w:r>
    </w:p>
    <w:p w14:paraId="6A4AB12F" w14:textId="77777777" w:rsidR="00D02E64" w:rsidRDefault="00000000">
      <w:pPr>
        <w:pStyle w:val="Ttulo2"/>
        <w:keepNext/>
        <w:spacing w:before="300"/>
      </w:pPr>
      <w:r>
        <w:t>CLÁUSULA SÉTIMA — DA PROPRIEDADE INTELECTUAL</w:t>
      </w:r>
    </w:p>
    <w:p w14:paraId="4E7C4EE9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7.1. </w:t>
      </w:r>
      <w:r>
        <w:t>A MEDRION é titular exclusiva de todos os direitos sobre a Plataforma, software, código, prompts, modelos, algoritmos, bases de conhecimento, marca e know-how.</w:t>
      </w:r>
    </w:p>
    <w:p w14:paraId="11EC1DA2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7.2. </w:t>
      </w:r>
      <w:r>
        <w:t>Este Contrato confere apenas licença de uso limitada, não exclusiva, intransferível e revogável.</w:t>
      </w:r>
    </w:p>
    <w:p w14:paraId="2A39934A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7.3. </w:t>
      </w:r>
      <w:r>
        <w:t xml:space="preserve">É vedado copiar, modificar, </w:t>
      </w:r>
      <w:proofErr w:type="spellStart"/>
      <w:r>
        <w:t>descompilar</w:t>
      </w:r>
      <w:proofErr w:type="spellEnd"/>
      <w:r>
        <w:t>, realizar engenharia reversa, sublicenciar, ceder ou explorar a Plataforma fora do escopo.</w:t>
      </w:r>
    </w:p>
    <w:p w14:paraId="7DD443A3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7.4. </w:t>
      </w:r>
      <w:r>
        <w:t>O Conteúdo Clínico gerado e, após validação e assinatura, as prescrições pertencem ao PROFISSIONAL/paciente; a MEDRION não reivindica titularidade sobre o conteúdo clínico individual.</w:t>
      </w:r>
    </w:p>
    <w:p w14:paraId="5333C88A" w14:textId="77777777" w:rsidR="00D02E64" w:rsidRDefault="00000000">
      <w:pPr>
        <w:pStyle w:val="Ttulo2"/>
        <w:keepNext/>
        <w:spacing w:before="300"/>
      </w:pPr>
      <w:r>
        <w:t>CLÁUSULA OITAVA — DA CONFIDENCIALIDADE</w:t>
      </w:r>
    </w:p>
    <w:p w14:paraId="04A1276F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8.1. </w:t>
      </w:r>
      <w:r>
        <w:t>As Partes manterão sigilo sobre informações confidenciais, salvo domínio público ou exigência legal, por 5 (cinco) anos após o término.</w:t>
      </w:r>
    </w:p>
    <w:p w14:paraId="357283DF" w14:textId="77777777" w:rsidR="00D02E64" w:rsidRDefault="00000000">
      <w:pPr>
        <w:pStyle w:val="Ttulo2"/>
        <w:keepNext/>
        <w:spacing w:before="300"/>
      </w:pPr>
      <w:r>
        <w:t>CLÁUSULA NONA — DO PREÇO, PAGAMENTO, PRAZO E RESCISÃO</w:t>
      </w:r>
    </w:p>
    <w:p w14:paraId="0539E4D9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9.1. </w:t>
      </w:r>
      <w:r>
        <w:t>O plano e o preço constam do Anexo I, cobrados mensalmente na forma de assinatura recorrente.</w:t>
      </w:r>
    </w:p>
    <w:p w14:paraId="190CFC5A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9.2. </w:t>
      </w:r>
      <w:r>
        <w:t>Os valores serão reajustados anualmente pelo IPCA, ou índice que o substitua.</w:t>
      </w:r>
    </w:p>
    <w:p w14:paraId="2239BFEB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9.3. </w:t>
      </w:r>
      <w:r>
        <w:t>O Contrato vigora por prazo mensal, com renovação automática e sucessiva mediante a manutenção da assinatura.</w:t>
      </w:r>
    </w:p>
    <w:p w14:paraId="1C846F31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9.4. </w:t>
      </w:r>
      <w:r>
        <w:t>Qualquer das Partes poderá cancelar a assinatura mediante comunicação, sem multa, cessando o acesso ao fim do ciclo já pago.</w:t>
      </w:r>
    </w:p>
    <w:p w14:paraId="1FAA75F5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lastRenderedPageBreak/>
        <w:t xml:space="preserve">9.5. </w:t>
      </w:r>
      <w:r>
        <w:t>O inadimplemento autoriza a suspensão e, persistindo, a rescisão. O descumprimento não sanado em 15 (quinze) dias autoriza a rescisão.</w:t>
      </w:r>
    </w:p>
    <w:p w14:paraId="697BF298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9.6. </w:t>
      </w:r>
      <w:r>
        <w:t>O término acarreta a imediata cessação da licença.</w:t>
      </w:r>
    </w:p>
    <w:p w14:paraId="5316B312" w14:textId="77777777" w:rsidR="00D02E64" w:rsidRDefault="00000000">
      <w:pPr>
        <w:pStyle w:val="Ttulo2"/>
        <w:keepNext/>
        <w:spacing w:before="300"/>
      </w:pPr>
      <w:r>
        <w:t>CLÁUSULA DÉCIMA — DAS DISPOSIÇÕES GERAIS</w:t>
      </w:r>
    </w:p>
    <w:p w14:paraId="28E08B10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10.1. </w:t>
      </w:r>
      <w:r>
        <w:t xml:space="preserve">AUSÊNCIA DE GARANTIA DE DISPONIBILIDADE (SLA): a MEDRION não assume obrigação de </w:t>
      </w:r>
      <w:proofErr w:type="spellStart"/>
      <w:r>
        <w:t>uptime</w:t>
      </w:r>
      <w:proofErr w:type="spellEnd"/>
      <w:r>
        <w:t>, não garante ausência de falhas e poderá realizar manutenções.</w:t>
      </w:r>
    </w:p>
    <w:p w14:paraId="4943B044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10.2. </w:t>
      </w:r>
      <w:r>
        <w:t>Caso fortuito e força maior excluem responsabilidade.</w:t>
      </w:r>
    </w:p>
    <w:p w14:paraId="44CDF72C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10.3. </w:t>
      </w:r>
      <w:r>
        <w:t>A MEDRION poderá ceder este Contrato a empresa de seu grupo ou sucessora, mediante comunicação.</w:t>
      </w:r>
    </w:p>
    <w:p w14:paraId="2C901DFD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10.4. </w:t>
      </w:r>
      <w:r>
        <w:t>As Partes são independentes; inexiste vínculo trabalhista, societário ou de consumo em razão deste Contrato.</w:t>
      </w:r>
    </w:p>
    <w:p w14:paraId="2FDB45EF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10.5. </w:t>
      </w:r>
      <w:r>
        <w:t>A tolerância não implica novação; a nulidade de uma cláusula não prejudica as demais; as comunicações serão por escrito, inclusive e-mail.</w:t>
      </w:r>
    </w:p>
    <w:p w14:paraId="0A169F32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10.6. </w:t>
      </w:r>
      <w:r>
        <w:t>Este Contrato e seus Anexos constituem o acordo integral entre as Partes.</w:t>
      </w:r>
    </w:p>
    <w:p w14:paraId="20E5EB93" w14:textId="77777777" w:rsidR="00D02E64" w:rsidRDefault="00000000">
      <w:pPr>
        <w:pStyle w:val="Ttulo2"/>
        <w:keepNext/>
        <w:spacing w:before="300"/>
      </w:pPr>
      <w:r>
        <w:t>CLÁUSULA DÉCIMA PRIMEIRA — DO ACEITE ELETRÔNICO E DO REGISTRO</w:t>
      </w:r>
    </w:p>
    <w:p w14:paraId="2F8B38E6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11.1. </w:t>
      </w:r>
      <w:r>
        <w:t>O PROFISSIONAL manifesta concordância com estes Termos por meio eletrônico, ao marcar a caixa “Li e concordo”, criar conta ou utilizar a Plataforma, dispensada a assinatura física. O aceite é válido, autêntico e eficaz nos termos da MP nº 2.200-2/2001 e da Lei nº 14.063/2020.</w:t>
      </w:r>
    </w:p>
    <w:p w14:paraId="0B12A8DF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11.2. </w:t>
      </w:r>
      <w:r>
        <w:t>A MEDRION registra e conserva, como prova do aceite, data e hora, identificação da conta/usuário, endereço IP e a versão dos Termos aceita; tais registros constituem evidência da contratação.</w:t>
      </w:r>
    </w:p>
    <w:p w14:paraId="65E53A44" w14:textId="77777777" w:rsidR="00D02E64" w:rsidRDefault="00000000">
      <w:pPr>
        <w:pStyle w:val="Ttulo2"/>
        <w:keepNext/>
        <w:spacing w:before="300"/>
      </w:pPr>
      <w:r>
        <w:t>CLÁUSULA DÉCIMA SEGUNDA — DA VIGÊNCIA E DAS ALTERAÇÕES</w:t>
      </w:r>
    </w:p>
    <w:p w14:paraId="25F938F1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12.1. </w:t>
      </w:r>
      <w:r>
        <w:t>A MEDRION pode atualizar estes Termos a qualquer tempo, mediante aviso por meio razoável (na Plataforma ou por e-mail), indicando a nova versão e a data de vigência; o uso continuado após a vigência implica aceite da nova versão.</w:t>
      </w:r>
    </w:p>
    <w:p w14:paraId="650A4127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12.2. </w:t>
      </w:r>
      <w:r>
        <w:t>Não concordando com a nova versão, o PROFISSIONAL deve cessar o uso e cancelar a assinatura, observada a Cláusula de prazo e rescisão.</w:t>
      </w:r>
    </w:p>
    <w:p w14:paraId="55725992" w14:textId="77777777" w:rsidR="00D02E64" w:rsidRDefault="00000000">
      <w:pPr>
        <w:pStyle w:val="Ttulo2"/>
        <w:keepNext/>
        <w:spacing w:before="300"/>
      </w:pPr>
      <w:r>
        <w:t>CLÁUSULA DÉCIMA TERCEIRA — DO FORO</w:t>
      </w:r>
    </w:p>
    <w:p w14:paraId="1EE31F2A" w14:textId="77777777" w:rsidR="00D02E64" w:rsidRDefault="00000000">
      <w:pPr>
        <w:spacing w:after="120" w:line="268" w:lineRule="auto"/>
        <w:jc w:val="both"/>
      </w:pPr>
      <w:r>
        <w:rPr>
          <w:b/>
          <w:bCs/>
        </w:rPr>
        <w:t xml:space="preserve">13.1. </w:t>
      </w:r>
      <w:r>
        <w:t>Fica eleito o foro da Comarca de Campinas/SP, com renúncia a qualquer outro, por mais privilegiado que seja.</w:t>
      </w:r>
    </w:p>
    <w:p w14:paraId="0A2F6208" w14:textId="77777777" w:rsidR="00D02E64" w:rsidRDefault="00D02E64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02E64" w14:paraId="18473C5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2D6CB4"/>
              <w:left w:val="single" w:sz="6" w:space="0" w:color="2D6CB4"/>
              <w:bottom w:val="single" w:sz="6" w:space="0" w:color="2D6CB4"/>
              <w:right w:val="single" w:sz="6" w:space="0" w:color="2D6CB4"/>
            </w:tcBorders>
            <w:shd w:val="clear" w:color="auto" w:fill="EAF1F8"/>
            <w:tcMar>
              <w:top w:w="110" w:type="dxa"/>
              <w:left w:w="160" w:type="dxa"/>
              <w:bottom w:w="110" w:type="dxa"/>
              <w:right w:w="160" w:type="dxa"/>
            </w:tcMar>
          </w:tcPr>
          <w:p w14:paraId="56D0833A" w14:textId="77777777" w:rsidR="00D02E64" w:rsidRDefault="00000000">
            <w:pPr>
              <w:jc w:val="both"/>
            </w:pPr>
            <w:r>
              <w:rPr>
                <w:b/>
                <w:bCs/>
              </w:rPr>
              <w:t xml:space="preserve">ACEITE ELETRÔNICO — “LI E CONCORDO”. </w:t>
            </w:r>
            <w:r>
              <w:t>Ao marcar a caixa “Li e concordo” e prosseguir com o cadastro ou com o uso da Plataforma, o PROFISSIONAL declara que leu, compreendeu e aceita integralmente estes Termos e seus Anexos. O aceite é registrado eletronicamente (data, hora, identificação do usuário, IP e versão aceita) e dispensa assinatura física.</w:t>
            </w:r>
          </w:p>
        </w:tc>
      </w:tr>
    </w:tbl>
    <w:p w14:paraId="7FE36BA9" w14:textId="77777777" w:rsidR="00D02E64" w:rsidRDefault="00D02E64">
      <w:pPr>
        <w:spacing w:after="60"/>
      </w:pPr>
    </w:p>
    <w:p w14:paraId="52A63538" w14:textId="77777777" w:rsidR="00D02E64" w:rsidRDefault="00000000">
      <w:pPr>
        <w:spacing w:after="120" w:line="268" w:lineRule="auto"/>
        <w:jc w:val="both"/>
      </w:pPr>
      <w:r>
        <w:t xml:space="preserve">Versão destes Termos: </w:t>
      </w:r>
      <w:r>
        <w:rPr>
          <w:b/>
          <w:bCs/>
          <w:shd w:val="clear" w:color="auto" w:fill="FFF200"/>
        </w:rPr>
        <w:t xml:space="preserve">[Nº/DATA DA </w:t>
      </w:r>
      <w:proofErr w:type="gramStart"/>
      <w:r>
        <w:rPr>
          <w:b/>
          <w:bCs/>
          <w:shd w:val="clear" w:color="auto" w:fill="FFF200"/>
        </w:rPr>
        <w:t>VERSÃO]</w:t>
      </w:r>
      <w:r>
        <w:t xml:space="preserve">   </w:t>
      </w:r>
      <w:proofErr w:type="gramEnd"/>
      <w:r>
        <w:t>·   MEDRION TECH SOLUÇÕES LTDA — CNPJ 66.873.236/0001-40 — contato@medrionai.com.</w:t>
      </w:r>
    </w:p>
    <w:p w14:paraId="4D5484BA" w14:textId="77777777" w:rsidR="00D02E64" w:rsidRDefault="00000000">
      <w:pPr>
        <w:pStyle w:val="Ttulo1"/>
        <w:pageBreakBefore/>
        <w:jc w:val="center"/>
      </w:pPr>
      <w:r>
        <w:lastRenderedPageBreak/>
        <w:t>ANEXO I — PLANO E PREÇO</w:t>
      </w:r>
    </w:p>
    <w:p w14:paraId="3E74B62D" w14:textId="77777777" w:rsidR="00D02E64" w:rsidRDefault="00000000">
      <w:pPr>
        <w:spacing w:after="120" w:line="268" w:lineRule="auto"/>
        <w:jc w:val="both"/>
      </w:pPr>
      <w:r>
        <w:t>Planos individuais, sem fidelidade, em modelo de assinatura recorrente mensal. Cotas mensais de anamneses, análises de exames e prescrições. Valores meramente indicativos, sujeitos a atualização.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400"/>
        <w:gridCol w:w="3826"/>
      </w:tblGrid>
      <w:tr w:rsidR="00D02E64" w14:paraId="507D8E9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DB7B0" w14:textId="77777777" w:rsidR="00D02E64" w:rsidRDefault="00000000">
            <w:r>
              <w:rPr>
                <w:b/>
                <w:bCs/>
                <w:color w:val="FFFFFF"/>
                <w:sz w:val="19"/>
                <w:szCs w:val="19"/>
              </w:rPr>
              <w:t>Plano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FC9E86" w14:textId="77777777" w:rsidR="00D02E64" w:rsidRDefault="00000000">
            <w:r>
              <w:rPr>
                <w:b/>
                <w:bCs/>
                <w:color w:val="FFFFFF"/>
                <w:sz w:val="19"/>
                <w:szCs w:val="19"/>
              </w:rPr>
              <w:t>Mensalidade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5A4E61" w14:textId="77777777" w:rsidR="00D02E64" w:rsidRDefault="00000000">
            <w:r>
              <w:rPr>
                <w:b/>
                <w:bCs/>
                <w:color w:val="FFFFFF"/>
                <w:sz w:val="19"/>
                <w:szCs w:val="19"/>
              </w:rPr>
              <w:t>Cota (anamneses / exames / receitas)</w:t>
            </w:r>
          </w:p>
        </w:tc>
      </w:tr>
      <w:tr w:rsidR="00D02E64" w14:paraId="4AB271C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BD42F43" w14:textId="77777777" w:rsidR="00D02E64" w:rsidRDefault="00000000">
            <w:r>
              <w:rPr>
                <w:sz w:val="19"/>
                <w:szCs w:val="19"/>
              </w:rPr>
              <w:t>Essencial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6261993" w14:textId="77777777" w:rsidR="00D02E64" w:rsidRDefault="00000000">
            <w:r>
              <w:rPr>
                <w:sz w:val="19"/>
                <w:szCs w:val="19"/>
              </w:rPr>
              <w:t>R$ 497,00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EAFD606" w14:textId="77777777" w:rsidR="00D02E64" w:rsidRDefault="00000000">
            <w:r>
              <w:rPr>
                <w:sz w:val="19"/>
                <w:szCs w:val="19"/>
              </w:rPr>
              <w:t>50 / 50 / 50</w:t>
            </w:r>
          </w:p>
        </w:tc>
      </w:tr>
      <w:tr w:rsidR="00D02E64" w14:paraId="6F7812A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C4CC92" w14:textId="77777777" w:rsidR="00D02E64" w:rsidRDefault="00000000">
            <w:r>
              <w:rPr>
                <w:sz w:val="19"/>
                <w:szCs w:val="19"/>
              </w:rPr>
              <w:t>Pro (mais popular)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E8C3A0" w14:textId="77777777" w:rsidR="00D02E64" w:rsidRDefault="00000000">
            <w:r>
              <w:rPr>
                <w:sz w:val="19"/>
                <w:szCs w:val="19"/>
              </w:rPr>
              <w:t>R$ 897,00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A588A6" w14:textId="77777777" w:rsidR="00D02E64" w:rsidRDefault="00000000">
            <w:r>
              <w:rPr>
                <w:sz w:val="19"/>
                <w:szCs w:val="19"/>
              </w:rPr>
              <w:t>100 / 100 / 100</w:t>
            </w:r>
          </w:p>
        </w:tc>
      </w:tr>
      <w:tr w:rsidR="00D02E64" w14:paraId="5880364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6FB1E2" w14:textId="77777777" w:rsidR="00D02E64" w:rsidRDefault="00000000">
            <w:r>
              <w:rPr>
                <w:sz w:val="19"/>
                <w:szCs w:val="19"/>
              </w:rPr>
              <w:t>Âncora</w:t>
            </w:r>
          </w:p>
        </w:tc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4080DA3" w14:textId="77777777" w:rsidR="00D02E64" w:rsidRDefault="00000000">
            <w:r>
              <w:rPr>
                <w:sz w:val="19"/>
                <w:szCs w:val="19"/>
              </w:rPr>
              <w:t>R$ 1.497,00</w:t>
            </w:r>
          </w:p>
        </w:tc>
        <w:tc>
          <w:tcPr>
            <w:tcW w:w="38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3FFD44C" w14:textId="77777777" w:rsidR="00D02E64" w:rsidRDefault="00000000">
            <w:r>
              <w:rPr>
                <w:sz w:val="19"/>
                <w:szCs w:val="19"/>
              </w:rPr>
              <w:t>200 / 200 / 200</w:t>
            </w:r>
          </w:p>
        </w:tc>
      </w:tr>
    </w:tbl>
    <w:p w14:paraId="49AF5DB8" w14:textId="77777777" w:rsidR="00D02E64" w:rsidRDefault="00D02E64">
      <w:pPr>
        <w:spacing w:after="60"/>
      </w:pPr>
    </w:p>
    <w:p w14:paraId="67AB3575" w14:textId="77777777" w:rsidR="00D02E64" w:rsidRDefault="00000000">
      <w:pPr>
        <w:spacing w:after="120" w:line="268" w:lineRule="auto"/>
        <w:jc w:val="both"/>
      </w:pPr>
      <w:r>
        <w:t>Pacotes de ações extras (pool livre, avulsos): +10 por R$ 49,00 · +30 por R$ 129,00 · +60 por R$ 239,00 · +100 por R$ 389,00.</w:t>
      </w:r>
    </w:p>
    <w:p w14:paraId="2E2EACA3" w14:textId="77777777" w:rsidR="00D02E64" w:rsidRDefault="00D02E64">
      <w:pPr>
        <w:spacing w:after="60"/>
      </w:pPr>
    </w:p>
    <w:p w14:paraId="4FA1A89B" w14:textId="77777777" w:rsidR="00D02E64" w:rsidRDefault="00000000">
      <w:pPr>
        <w:spacing w:after="120" w:line="268" w:lineRule="auto"/>
        <w:jc w:val="both"/>
      </w:pPr>
      <w:r>
        <w:t xml:space="preserve">Plano contratado: </w:t>
      </w:r>
      <w:r>
        <w:rPr>
          <w:b/>
          <w:bCs/>
          <w:shd w:val="clear" w:color="auto" w:fill="FFF200"/>
        </w:rPr>
        <w:t>[</w:t>
      </w:r>
      <w:proofErr w:type="gramStart"/>
      <w:r>
        <w:rPr>
          <w:b/>
          <w:bCs/>
          <w:shd w:val="clear" w:color="auto" w:fill="FFF200"/>
        </w:rPr>
        <w:t>PLANO]</w:t>
      </w:r>
      <w:r>
        <w:t xml:space="preserve">   </w:t>
      </w:r>
      <w:proofErr w:type="gramEnd"/>
      <w:r>
        <w:t xml:space="preserve">·   Valor mensal: </w:t>
      </w:r>
      <w:r>
        <w:rPr>
          <w:b/>
          <w:bCs/>
          <w:shd w:val="clear" w:color="auto" w:fill="FFF200"/>
        </w:rPr>
        <w:t>[R$ _____</w:t>
      </w:r>
      <w:proofErr w:type="gramStart"/>
      <w:r>
        <w:rPr>
          <w:b/>
          <w:bCs/>
          <w:shd w:val="clear" w:color="auto" w:fill="FFF200"/>
        </w:rPr>
        <w:t>_]</w:t>
      </w:r>
      <w:r>
        <w:t xml:space="preserve">   </w:t>
      </w:r>
      <w:proofErr w:type="gramEnd"/>
      <w:r>
        <w:t xml:space="preserve">·   Vencimento: </w:t>
      </w:r>
      <w:r>
        <w:rPr>
          <w:b/>
          <w:bCs/>
          <w:shd w:val="clear" w:color="auto" w:fill="FFF200"/>
        </w:rPr>
        <w:t>[DIA]</w:t>
      </w:r>
      <w:r>
        <w:t>.</w:t>
      </w:r>
    </w:p>
    <w:p w14:paraId="07CE0F6A" w14:textId="77777777" w:rsidR="00D02E64" w:rsidRDefault="00000000">
      <w:pPr>
        <w:pStyle w:val="Ttulo1"/>
        <w:pageBreakBefore/>
        <w:jc w:val="center"/>
      </w:pPr>
      <w:r>
        <w:lastRenderedPageBreak/>
        <w:t>ANEXO II — SUBOPERADORES E TRANSFERÊNCIA INTERNACIONAL</w:t>
      </w:r>
    </w:p>
    <w:p w14:paraId="07320577" w14:textId="77777777" w:rsidR="00D02E64" w:rsidRDefault="00000000">
      <w:pPr>
        <w:spacing w:after="120" w:line="268" w:lineRule="auto"/>
        <w:jc w:val="both"/>
      </w:pPr>
      <w:r>
        <w:t xml:space="preserve">Relação dos </w:t>
      </w:r>
      <w:proofErr w:type="spellStart"/>
      <w:r>
        <w:t>Suboperadores</w:t>
      </w:r>
      <w:proofErr w:type="spellEnd"/>
      <w:r>
        <w:t xml:space="preserve"> envolvidos, com finalidade e localização. Lista exemplificativa, sujeita a atualização na Política de Privacidade.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4026"/>
        <w:gridCol w:w="2300"/>
      </w:tblGrid>
      <w:tr w:rsidR="00D02E64" w14:paraId="27C37E1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08634D" w14:textId="77777777" w:rsidR="00D02E64" w:rsidRDefault="00000000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Suboperador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D635DF" w14:textId="77777777" w:rsidR="00D02E64" w:rsidRDefault="00000000">
            <w:r>
              <w:rPr>
                <w:b/>
                <w:bCs/>
                <w:color w:val="FFFFFF"/>
                <w:sz w:val="19"/>
                <w:szCs w:val="19"/>
              </w:rPr>
              <w:t>Finalidade</w:t>
            </w:r>
          </w:p>
        </w:tc>
        <w:tc>
          <w:tcPr>
            <w:tcW w:w="2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DD8EFE" w14:textId="77777777" w:rsidR="00D02E64" w:rsidRDefault="00000000">
            <w:r>
              <w:rPr>
                <w:b/>
                <w:bCs/>
                <w:color w:val="FFFFFF"/>
                <w:sz w:val="19"/>
                <w:szCs w:val="19"/>
              </w:rPr>
              <w:t>País / Região</w:t>
            </w:r>
          </w:p>
        </w:tc>
      </w:tr>
      <w:tr w:rsidR="00D02E64" w14:paraId="56A4DA6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1C90DB4" w14:textId="77777777" w:rsidR="00D02E64" w:rsidRDefault="00000000">
            <w:proofErr w:type="spellStart"/>
            <w:r>
              <w:rPr>
                <w:sz w:val="19"/>
                <w:szCs w:val="19"/>
              </w:rPr>
              <w:t>Vercel</w:t>
            </w:r>
            <w:proofErr w:type="spellEnd"/>
            <w:r>
              <w:rPr>
                <w:sz w:val="19"/>
                <w:szCs w:val="19"/>
              </w:rPr>
              <w:t xml:space="preserve"> Inc.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1F6198" w14:textId="77777777" w:rsidR="00D02E64" w:rsidRDefault="00000000">
            <w:r>
              <w:rPr>
                <w:sz w:val="19"/>
                <w:szCs w:val="19"/>
              </w:rPr>
              <w:t>Hospedagem da aplicação (medrionai.com)</w:t>
            </w:r>
          </w:p>
        </w:tc>
        <w:tc>
          <w:tcPr>
            <w:tcW w:w="2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3EFEEB0" w14:textId="77777777" w:rsidR="00D02E64" w:rsidRDefault="00000000">
            <w:r>
              <w:rPr>
                <w:sz w:val="19"/>
                <w:szCs w:val="19"/>
              </w:rPr>
              <w:t>Estados Unidos</w:t>
            </w:r>
          </w:p>
        </w:tc>
      </w:tr>
      <w:tr w:rsidR="00D02E64" w14:paraId="5F5F921F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5BCD62" w14:textId="77777777" w:rsidR="00D02E64" w:rsidRDefault="00000000">
            <w:proofErr w:type="spellStart"/>
            <w:r>
              <w:rPr>
                <w:sz w:val="19"/>
                <w:szCs w:val="19"/>
              </w:rPr>
              <w:t>Supabase</w:t>
            </w:r>
            <w:proofErr w:type="spellEnd"/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5E2D6E9" w14:textId="77777777" w:rsidR="00D02E64" w:rsidRDefault="00000000">
            <w:r>
              <w:rPr>
                <w:sz w:val="19"/>
                <w:szCs w:val="19"/>
              </w:rPr>
              <w:t xml:space="preserve">Armazenamento de dados (banco de dados / </w:t>
            </w:r>
            <w:proofErr w:type="spellStart"/>
            <w:r>
              <w:rPr>
                <w:sz w:val="19"/>
                <w:szCs w:val="19"/>
              </w:rPr>
              <w:t>storage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  <w:tc>
          <w:tcPr>
            <w:tcW w:w="2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A5B65DD" w14:textId="77777777" w:rsidR="00D02E64" w:rsidRDefault="00000000">
            <w:r>
              <w:rPr>
                <w:sz w:val="19"/>
                <w:szCs w:val="19"/>
              </w:rPr>
              <w:t>[A CONFIRMAR — possivelmente EUA/Europa]</w:t>
            </w:r>
          </w:p>
        </w:tc>
      </w:tr>
      <w:tr w:rsidR="00D02E64" w14:paraId="3B96FB8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07589FF" w14:textId="77777777" w:rsidR="00D02E64" w:rsidRDefault="00000000">
            <w:r>
              <w:rPr>
                <w:sz w:val="19"/>
                <w:szCs w:val="19"/>
              </w:rPr>
              <w:t>Google LLC (Gemini)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83BFA90" w14:textId="77777777" w:rsidR="00D02E64" w:rsidRDefault="00000000">
            <w:r>
              <w:rPr>
                <w:sz w:val="19"/>
                <w:szCs w:val="19"/>
              </w:rPr>
              <w:t>Extração/transcrição e processamento por IA</w:t>
            </w:r>
          </w:p>
        </w:tc>
        <w:tc>
          <w:tcPr>
            <w:tcW w:w="2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0085AF9" w14:textId="77777777" w:rsidR="00D02E64" w:rsidRDefault="00000000">
            <w:r>
              <w:rPr>
                <w:sz w:val="19"/>
                <w:szCs w:val="19"/>
              </w:rPr>
              <w:t>Estados Unidos</w:t>
            </w:r>
          </w:p>
        </w:tc>
      </w:tr>
      <w:tr w:rsidR="00D02E64" w14:paraId="149F8DB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3CCB5B" w14:textId="77777777" w:rsidR="00D02E64" w:rsidRDefault="00000000">
            <w:proofErr w:type="spellStart"/>
            <w:r>
              <w:rPr>
                <w:sz w:val="19"/>
                <w:szCs w:val="19"/>
              </w:rPr>
              <w:t>Anthropic</w:t>
            </w:r>
            <w:proofErr w:type="spellEnd"/>
            <w:r>
              <w:rPr>
                <w:sz w:val="19"/>
                <w:szCs w:val="19"/>
              </w:rPr>
              <w:t xml:space="preserve"> PBC (Claude)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9521CF3" w14:textId="77777777" w:rsidR="00D02E64" w:rsidRDefault="00000000">
            <w:r>
              <w:rPr>
                <w:sz w:val="19"/>
                <w:szCs w:val="19"/>
              </w:rPr>
              <w:t>Geração de texto por IA</w:t>
            </w:r>
          </w:p>
        </w:tc>
        <w:tc>
          <w:tcPr>
            <w:tcW w:w="2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E2D8DA3" w14:textId="77777777" w:rsidR="00D02E64" w:rsidRDefault="00000000">
            <w:r>
              <w:rPr>
                <w:sz w:val="19"/>
                <w:szCs w:val="19"/>
              </w:rPr>
              <w:t>Estados Unidos</w:t>
            </w:r>
          </w:p>
        </w:tc>
      </w:tr>
      <w:tr w:rsidR="00D02E64" w14:paraId="322A994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80B9338" w14:textId="77777777" w:rsidR="00D02E64" w:rsidRDefault="00000000">
            <w:r>
              <w:rPr>
                <w:sz w:val="19"/>
                <w:szCs w:val="19"/>
              </w:rPr>
              <w:t>OpenAI, L.L.C.</w:t>
            </w:r>
          </w:p>
        </w:tc>
        <w:tc>
          <w:tcPr>
            <w:tcW w:w="4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1BB5F7" w14:textId="77777777" w:rsidR="00D02E64" w:rsidRDefault="00000000">
            <w:r>
              <w:rPr>
                <w:sz w:val="19"/>
                <w:szCs w:val="19"/>
              </w:rPr>
              <w:t>Transcrição de áudio por IA</w:t>
            </w:r>
          </w:p>
        </w:tc>
        <w:tc>
          <w:tcPr>
            <w:tcW w:w="23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520B0C6" w14:textId="77777777" w:rsidR="00D02E64" w:rsidRDefault="00000000">
            <w:r>
              <w:rPr>
                <w:sz w:val="19"/>
                <w:szCs w:val="19"/>
              </w:rPr>
              <w:t>Estados Unidos</w:t>
            </w:r>
          </w:p>
        </w:tc>
      </w:tr>
    </w:tbl>
    <w:p w14:paraId="27475AF1" w14:textId="77777777" w:rsidR="00500708" w:rsidRDefault="00500708"/>
    <w:sectPr w:rsidR="0050070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A8C1B6F" w14:textId="77777777" w:rsidR="00500708" w:rsidRDefault="00500708">
      <w:r>
        <w:separator/>
      </w:r>
    </w:p>
  </w:endnote>
  <w:endnote w:type="continuationSeparator" w:id="0">
    <w:p w14:paraId="7032F22C" w14:textId="77777777" w:rsidR="00500708" w:rsidRDefault="0050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57B734" w14:textId="77777777" w:rsidR="00D02E64" w:rsidRDefault="00000000">
    <w:pPr>
      <w:pBdr>
        <w:top w:val="single" w:sz="4" w:space="4" w:color="CCCCCC"/>
      </w:pBdr>
      <w:jc w:val="center"/>
    </w:pPr>
    <w:r>
      <w:rPr>
        <w:color w:val="888888"/>
        <w:sz w:val="16"/>
        <w:szCs w:val="16"/>
      </w:rPr>
      <w:t xml:space="preserve">MEDRION TECH SOLUÇÕES LTDA · CNPJ 66.873.236/0001-40 · contato@medrionai.com · Página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471794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de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471794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130418B" w14:textId="77777777" w:rsidR="00500708" w:rsidRDefault="00500708">
      <w:r>
        <w:separator/>
      </w:r>
    </w:p>
  </w:footnote>
  <w:footnote w:type="continuationSeparator" w:id="0">
    <w:p w14:paraId="6717D0BC" w14:textId="77777777" w:rsidR="00500708" w:rsidRDefault="0050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1A7E7F" w14:textId="597FCFCA" w:rsidR="00D02E64" w:rsidRDefault="00D02E64">
    <w:pPr>
      <w:pBdr>
        <w:bottom w:val="single" w:sz="4" w:space="4" w:color="CCCCCC"/>
      </w:pBdr>
      <w:spacing w:after="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55542B8"/>
    <w:multiLevelType w:val="hybridMultilevel"/>
    <w:tmpl w:val="AED2465E"/>
    <w:lvl w:ilvl="0" w:tplc="E2A8DCC2">
      <w:start w:val="1"/>
      <w:numFmt w:val="bullet"/>
      <w:lvlText w:val="●"/>
      <w:lvlJc w:val="left"/>
      <w:pPr>
        <w:ind w:left="720" w:hanging="360"/>
      </w:pPr>
    </w:lvl>
    <w:lvl w:ilvl="1" w:tplc="A6CC5844">
      <w:start w:val="1"/>
      <w:numFmt w:val="bullet"/>
      <w:lvlText w:val="○"/>
      <w:lvlJc w:val="left"/>
      <w:pPr>
        <w:ind w:left="1440" w:hanging="360"/>
      </w:pPr>
    </w:lvl>
    <w:lvl w:ilvl="2" w:tplc="8AF69B6E">
      <w:start w:val="1"/>
      <w:numFmt w:val="bullet"/>
      <w:lvlText w:val="■"/>
      <w:lvlJc w:val="left"/>
      <w:pPr>
        <w:ind w:left="2160" w:hanging="360"/>
      </w:pPr>
    </w:lvl>
    <w:lvl w:ilvl="3" w:tplc="3086D41E">
      <w:start w:val="1"/>
      <w:numFmt w:val="bullet"/>
      <w:lvlText w:val="●"/>
      <w:lvlJc w:val="left"/>
      <w:pPr>
        <w:ind w:left="2880" w:hanging="360"/>
      </w:pPr>
    </w:lvl>
    <w:lvl w:ilvl="4" w:tplc="056ECF0E">
      <w:start w:val="1"/>
      <w:numFmt w:val="bullet"/>
      <w:lvlText w:val="○"/>
      <w:lvlJc w:val="left"/>
      <w:pPr>
        <w:ind w:left="3600" w:hanging="360"/>
      </w:pPr>
    </w:lvl>
    <w:lvl w:ilvl="5" w:tplc="FE2A2C6E">
      <w:start w:val="1"/>
      <w:numFmt w:val="bullet"/>
      <w:lvlText w:val="■"/>
      <w:lvlJc w:val="left"/>
      <w:pPr>
        <w:ind w:left="4320" w:hanging="360"/>
      </w:pPr>
    </w:lvl>
    <w:lvl w:ilvl="6" w:tplc="D3389D8A">
      <w:start w:val="1"/>
      <w:numFmt w:val="bullet"/>
      <w:lvlText w:val="●"/>
      <w:lvlJc w:val="left"/>
      <w:pPr>
        <w:ind w:left="5040" w:hanging="360"/>
      </w:pPr>
    </w:lvl>
    <w:lvl w:ilvl="7" w:tplc="5D0AA07C">
      <w:start w:val="1"/>
      <w:numFmt w:val="bullet"/>
      <w:lvlText w:val="●"/>
      <w:lvlJc w:val="left"/>
      <w:pPr>
        <w:ind w:left="5760" w:hanging="360"/>
      </w:pPr>
    </w:lvl>
    <w:lvl w:ilvl="8" w:tplc="1BD63124">
      <w:start w:val="1"/>
      <w:numFmt w:val="bullet"/>
      <w:lvlText w:val="●"/>
      <w:lvlJc w:val="left"/>
      <w:pPr>
        <w:ind w:left="6480" w:hanging="360"/>
      </w:pPr>
    </w:lvl>
  </w:abstractNum>
  <w:num w:numId="1" w16cid:durableId="3289493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64"/>
    <w:rsid w:val="00471794"/>
    <w:rsid w:val="00500708"/>
    <w:rsid w:val="00D02E64"/>
    <w:rsid w:val="00E7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BA8E95"/>
  <w15:docId w15:val="{C8005FB2-1CD7-1945-BC10-5F228EE7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120" w:after="200"/>
      <w:outlineLvl w:val="0"/>
    </w:pPr>
    <w:rPr>
      <w:b/>
      <w:bCs/>
      <w:color w:val="1F3864"/>
      <w:sz w:val="26"/>
      <w:szCs w:val="26"/>
    </w:rPr>
  </w:style>
  <w:style w:type="paragraph" w:styleId="Ttulo2">
    <w:name w:val="heading 2"/>
    <w:uiPriority w:val="9"/>
    <w:unhideWhenUsed/>
    <w:qFormat/>
    <w:pPr>
      <w:spacing w:before="280" w:after="120"/>
      <w:outlineLvl w:val="1"/>
    </w:pPr>
    <w:rPr>
      <w:b/>
      <w:bCs/>
      <w:color w:val="1F386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717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794"/>
  </w:style>
  <w:style w:type="paragraph" w:styleId="Rodap">
    <w:name w:val="footer"/>
    <w:basedOn w:val="Normal"/>
    <w:link w:val="RodapChar"/>
    <w:uiPriority w:val="99"/>
    <w:unhideWhenUsed/>
    <w:rsid w:val="004717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1791</Words>
  <Characters>10503</Characters>
  <Application>Microsoft Office Word</Application>
  <DocSecurity>0</DocSecurity>
  <Lines>205</Lines>
  <Paragraphs>109</Paragraphs>
  <ScaleCrop>false</ScaleCrop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Lucas Pereira</cp:lastModifiedBy>
  <cp:revision>2</cp:revision>
  <dcterms:created xsi:type="dcterms:W3CDTF">2026-06-25T16:58:00Z</dcterms:created>
  <dcterms:modified xsi:type="dcterms:W3CDTF">2026-06-25T17:02:00Z</dcterms:modified>
</cp:coreProperties>
</file>